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83" w:rsidRPr="00C97B83" w:rsidRDefault="00C97B83" w:rsidP="00C97B83">
      <w:pPr>
        <w:shd w:val="clear" w:color="auto" w:fill="FFFFFF"/>
        <w:spacing w:before="100" w:beforeAutospacing="1" w:after="100" w:afterAutospacing="1" w:line="240" w:lineRule="auto"/>
        <w:jc w:val="center"/>
        <w:outlineLvl w:val="1"/>
        <w:rPr>
          <w:rFonts w:ascii="Helvetica" w:eastAsia="Times New Roman" w:hAnsi="Helvetica" w:cs="Helvetica"/>
          <w:b/>
          <w:bCs/>
          <w:color w:val="212121"/>
          <w:sz w:val="32"/>
          <w:szCs w:val="32"/>
          <w:lang w:eastAsia="en-GB"/>
        </w:rPr>
      </w:pPr>
      <w:r w:rsidRPr="00C97B83">
        <w:rPr>
          <w:rFonts w:ascii="Helvetica" w:eastAsia="Times New Roman" w:hAnsi="Helvetica" w:cs="Helvetica"/>
          <w:b/>
          <w:bCs/>
          <w:color w:val="212121"/>
          <w:sz w:val="32"/>
          <w:szCs w:val="32"/>
          <w:lang w:eastAsia="en-GB"/>
        </w:rPr>
        <w:t>​Gender, Institutions and Change: Feminist Institutionalism after 10 years</w:t>
      </w:r>
    </w:p>
    <w:p w:rsidR="00C97B83" w:rsidRPr="00C97B83" w:rsidRDefault="00C97B83" w:rsidP="00C97B83">
      <w:pPr>
        <w:shd w:val="clear" w:color="auto" w:fill="FFFFFF"/>
        <w:spacing w:after="0" w:line="240" w:lineRule="auto"/>
        <w:jc w:val="center"/>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Monday, April 3 - Tuesday, April 4</w:t>
      </w:r>
    </w:p>
    <w:p w:rsid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Pr>
          <w:rFonts w:ascii="Helvetica" w:eastAsia="Times New Roman" w:hAnsi="Helvetica" w:cs="Helvetica"/>
          <w:color w:val="212121"/>
          <w:sz w:val="23"/>
          <w:szCs w:val="23"/>
          <w:lang w:eastAsia="en-GB"/>
        </w:rPr>
        <w:t>C</w:t>
      </w:r>
      <w:r w:rsidRPr="00C97B83">
        <w:rPr>
          <w:rFonts w:ascii="Helvetica" w:eastAsia="Times New Roman" w:hAnsi="Helvetica" w:cs="Helvetica"/>
          <w:color w:val="212121"/>
          <w:sz w:val="23"/>
          <w:szCs w:val="23"/>
          <w:lang w:eastAsia="en-GB"/>
        </w:rPr>
        <w:t>onference Website: </w:t>
      </w:r>
      <w:hyperlink r:id="rId4" w:tgtFrame="_blank" w:history="1">
        <w:r w:rsidRPr="00C97B83">
          <w:rPr>
            <w:rFonts w:ascii="Helvetica" w:eastAsia="Times New Roman" w:hAnsi="Helvetica" w:cs="Helvetica"/>
            <w:color w:val="1B6AC9"/>
            <w:sz w:val="23"/>
            <w:szCs w:val="23"/>
            <w:u w:val="single"/>
            <w:lang w:eastAsia="en-GB"/>
          </w:rPr>
          <w:t>http://uicgenderconf.wixsite.com/conferencesite</w:t>
        </w:r>
      </w:hyperlink>
      <w:r w:rsidRPr="00C97B83">
        <w:rPr>
          <w:rFonts w:ascii="Helvetica" w:eastAsia="Times New Roman" w:hAnsi="Helvetica" w:cs="Helvetica"/>
          <w:color w:val="212121"/>
          <w:sz w:val="23"/>
          <w:szCs w:val="23"/>
          <w:lang w:eastAsia="en-GB"/>
        </w:rPr>
        <w:t> </w:t>
      </w:r>
      <w:r w:rsidRPr="00C97B83">
        <w:rPr>
          <w:rFonts w:ascii="Helvetica" w:eastAsia="Times New Roman" w:hAnsi="Helvetica" w:cs="Helvetica"/>
          <w:color w:val="212121"/>
          <w:sz w:val="23"/>
          <w:szCs w:val="23"/>
          <w:lang w:eastAsia="en-GB"/>
        </w:rPr>
        <w:br/>
      </w:r>
      <w:r w:rsidRPr="00C97B83">
        <w:rPr>
          <w:rFonts w:ascii="Helvetica" w:eastAsia="Times New Roman" w:hAnsi="Helvetica" w:cs="Helvetica"/>
          <w:color w:val="212121"/>
          <w:sz w:val="23"/>
          <w:szCs w:val="23"/>
          <w:lang w:eastAsia="en-GB"/>
        </w:rPr>
        <w:br/>
      </w:r>
      <w:r w:rsidRPr="00C97B83">
        <w:rPr>
          <w:rFonts w:ascii="Helvetica" w:eastAsia="Times New Roman" w:hAnsi="Helvetica" w:cs="Helvetica"/>
          <w:b/>
          <w:bCs/>
          <w:color w:val="212121"/>
          <w:sz w:val="23"/>
          <w:szCs w:val="23"/>
          <w:lang w:eastAsia="en-GB"/>
        </w:rPr>
        <w:t>Understanding the Role of Political Settlements in Shaping the Opportunities for Progressive Institutional Change in Conflict-to-Peace Transitions</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xml:space="preserve">The panel draws together ongoing research and preliminary findings from the DFID-funded Political Settlements Research Programme, in order to explore how political settlements – elite level agreements about the exercise of power – can be leveraged analytically and practically to build more stable and gender-inclusive institutions. The panel will adopt an overt focus on institutional change in the context of conflict-to-peace transitions. The discussion will be informed by macro large-N analysis of peace agreement provision globally for institutional change (Mackay), small-N comparative case study analysis of the role of international legal norms for gender equality on domestic processes of institutional change (O’Rourke), and specific case study analysis of institutional change in Northern Ireland political institutions (Rouse) and criminal justice responses to gender-based violence (Doyle). The panel will also consider findings from the Development Leadership Programme on Colombia (Domingo and Rocha </w:t>
      </w:r>
      <w:proofErr w:type="spellStart"/>
      <w:r w:rsidRPr="00C97B83">
        <w:rPr>
          <w:rFonts w:ascii="Helvetica" w:eastAsia="Times New Roman" w:hAnsi="Helvetica" w:cs="Helvetica"/>
          <w:color w:val="212121"/>
          <w:sz w:val="23"/>
          <w:szCs w:val="23"/>
          <w:lang w:eastAsia="en-GB"/>
        </w:rPr>
        <w:t>Menocal</w:t>
      </w:r>
      <w:proofErr w:type="spellEnd"/>
      <w:r w:rsidRPr="00C97B83">
        <w:rPr>
          <w:rFonts w:ascii="Helvetica" w:eastAsia="Times New Roman" w:hAnsi="Helvetica" w:cs="Helvetica"/>
          <w:color w:val="212121"/>
          <w:sz w:val="23"/>
          <w:szCs w:val="23"/>
          <w:lang w:eastAsia="en-GB"/>
        </w:rPr>
        <w:t>). The panel aims to advance a productive interface between FI and gendered political settlements analysis, by asking what an FI perspective can bring to political settlements, and what political settlements may bring to understanding gender and institutional change.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Pr>
          <w:rFonts w:ascii="Helvetica" w:eastAsia="Times New Roman" w:hAnsi="Helvetica" w:cs="Helvetica"/>
          <w:b/>
          <w:bCs/>
          <w:color w:val="212121"/>
          <w:sz w:val="23"/>
          <w:szCs w:val="23"/>
          <w:lang w:eastAsia="en-GB"/>
        </w:rPr>
        <w:t xml:space="preserve">Paper 1: </w:t>
      </w:r>
      <w:r w:rsidRPr="00C97B83">
        <w:rPr>
          <w:rFonts w:ascii="Helvetica" w:eastAsia="Times New Roman" w:hAnsi="Helvetica" w:cs="Helvetica"/>
          <w:b/>
          <w:bCs/>
          <w:color w:val="212121"/>
          <w:sz w:val="23"/>
          <w:szCs w:val="23"/>
          <w:lang w:eastAsia="en-GB"/>
        </w:rPr>
        <w:t>New institutions, new gender rules? Emerging evidence from the ESRC-</w:t>
      </w:r>
      <w:proofErr w:type="spellStart"/>
      <w:r w:rsidRPr="00C97B83">
        <w:rPr>
          <w:rFonts w:ascii="Helvetica" w:eastAsia="Times New Roman" w:hAnsi="Helvetica" w:cs="Helvetica"/>
          <w:b/>
          <w:bCs/>
          <w:color w:val="212121"/>
          <w:sz w:val="23"/>
          <w:szCs w:val="23"/>
          <w:lang w:eastAsia="en-GB"/>
        </w:rPr>
        <w:t>DfID</w:t>
      </w:r>
      <w:proofErr w:type="spellEnd"/>
      <w:r w:rsidRPr="00C97B83">
        <w:rPr>
          <w:rFonts w:ascii="Helvetica" w:eastAsia="Times New Roman" w:hAnsi="Helvetica" w:cs="Helvetica"/>
          <w:b/>
          <w:bCs/>
          <w:color w:val="212121"/>
          <w:sz w:val="23"/>
          <w:szCs w:val="23"/>
          <w:lang w:eastAsia="en-GB"/>
        </w:rPr>
        <w:t xml:space="preserve"> Political Settlements Research Programme</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Fiona Mackay (University of Edinburgh)</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hyperlink r:id="rId5" w:tgtFrame="_blank" w:history="1">
        <w:r w:rsidRPr="00C97B83">
          <w:rPr>
            <w:rFonts w:ascii="Helvetica" w:eastAsia="Times New Roman" w:hAnsi="Helvetica" w:cs="Helvetica"/>
            <w:color w:val="1B6AC9"/>
            <w:sz w:val="23"/>
            <w:szCs w:val="23"/>
            <w:u w:val="single"/>
            <w:lang w:eastAsia="en-GB"/>
          </w:rPr>
          <w:t>f.s.mackay@ed.ac.uk</w:t>
        </w:r>
      </w:hyperlink>
    </w:p>
    <w:p w:rsid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The paper seeks to bring a feminist institutionalist lens to research on gendered peace settlements. It will draw on emerging evidence from the ESRC-</w:t>
      </w:r>
      <w:proofErr w:type="spellStart"/>
      <w:r w:rsidRPr="00C97B83">
        <w:rPr>
          <w:rFonts w:ascii="Helvetica" w:eastAsia="Times New Roman" w:hAnsi="Helvetica" w:cs="Helvetica"/>
          <w:color w:val="212121"/>
          <w:sz w:val="23"/>
          <w:szCs w:val="23"/>
          <w:lang w:eastAsia="en-GB"/>
        </w:rPr>
        <w:t>DfID</w:t>
      </w:r>
      <w:proofErr w:type="spellEnd"/>
      <w:r w:rsidRPr="00C97B83">
        <w:rPr>
          <w:rFonts w:ascii="Helvetica" w:eastAsia="Times New Roman" w:hAnsi="Helvetica" w:cs="Helvetica"/>
          <w:color w:val="212121"/>
          <w:sz w:val="23"/>
          <w:szCs w:val="23"/>
          <w:lang w:eastAsia="en-GB"/>
        </w:rPr>
        <w:t xml:space="preserve"> Political Settlements Research Programme, and the Women and Peace Agreements database (PAX-Women which lists all the peace agreements between 1990 and the present day which have provisions on women, gender or sexual violence) to address the trajectories of designing, establishing and implementing new – and more gender inclusive – institutions in time of transition. It will ask what an FI perspective, bringing together institutionalist theory and gendered analysis, and might offer to current peace settlement approaches, and to ongoing efforts </w:t>
      </w:r>
      <w:proofErr w:type="spellStart"/>
      <w:r w:rsidRPr="00C97B83">
        <w:rPr>
          <w:rFonts w:ascii="Helvetica" w:eastAsia="Times New Roman" w:hAnsi="Helvetica" w:cs="Helvetica"/>
          <w:color w:val="212121"/>
          <w:sz w:val="23"/>
          <w:szCs w:val="23"/>
          <w:lang w:eastAsia="en-GB"/>
        </w:rPr>
        <w:t>tointerrogate</w:t>
      </w:r>
      <w:proofErr w:type="spellEnd"/>
      <w:r w:rsidRPr="00C97B83">
        <w:rPr>
          <w:rFonts w:ascii="Helvetica" w:eastAsia="Times New Roman" w:hAnsi="Helvetica" w:cs="Helvetica"/>
          <w:color w:val="212121"/>
          <w:sz w:val="23"/>
          <w:szCs w:val="23"/>
          <w:lang w:eastAsia="en-GB"/>
        </w:rPr>
        <w:t xml:space="preserve"> the gendered aspect of ‘political settlement’ as a category and a political process.</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Pr>
          <w:rFonts w:ascii="Helvetica" w:eastAsia="Times New Roman" w:hAnsi="Helvetica" w:cs="Helvetica"/>
          <w:b/>
          <w:bCs/>
          <w:color w:val="212121"/>
          <w:sz w:val="23"/>
          <w:szCs w:val="23"/>
          <w:lang w:eastAsia="en-GB"/>
        </w:rPr>
        <w:t>Paper 2: </w:t>
      </w:r>
      <w:r w:rsidRPr="00C97B83">
        <w:rPr>
          <w:rFonts w:ascii="Helvetica" w:eastAsia="Times New Roman" w:hAnsi="Helvetica" w:cs="Helvetica"/>
          <w:b/>
          <w:bCs/>
          <w:color w:val="212121"/>
          <w:sz w:val="23"/>
          <w:szCs w:val="23"/>
          <w:lang w:eastAsia="en-GB"/>
        </w:rPr>
        <w:t>Implementing the Good Friday Agreement: Understanding Institutional Change through Crisis and Attrition</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Michelle Rouse (Ulster University, Transitional Justice Institute, PhD candidate)</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hyperlink r:id="rId6" w:tgtFrame="_blank" w:history="1">
        <w:r w:rsidRPr="00C97B83">
          <w:rPr>
            <w:rFonts w:ascii="Helvetica" w:eastAsia="Times New Roman" w:hAnsi="Helvetica" w:cs="Helvetica"/>
            <w:color w:val="1B6AC9"/>
            <w:sz w:val="23"/>
            <w:szCs w:val="23"/>
            <w:u w:val="single"/>
            <w:lang w:eastAsia="en-GB"/>
          </w:rPr>
          <w:t>Rouse-m@email.ulster.ac.uk</w:t>
        </w:r>
      </w:hyperlink>
    </w:p>
    <w:p w:rsid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xml:space="preserve">Peace agreements are oft mooted to hold the potential to deliver transformative gender outcomes in the recalibration of power dynamics in any new dispensation. Whilst containing only one specific reference to the ‘full and equal participation of women in </w:t>
      </w:r>
      <w:r w:rsidRPr="00C97B83">
        <w:rPr>
          <w:rFonts w:ascii="Helvetica" w:eastAsia="Times New Roman" w:hAnsi="Helvetica" w:cs="Helvetica"/>
          <w:color w:val="212121"/>
          <w:sz w:val="23"/>
          <w:szCs w:val="23"/>
          <w:lang w:eastAsia="en-GB"/>
        </w:rPr>
        <w:lastRenderedPageBreak/>
        <w:t>public life’; ubiquitous references to equality and human rights in the 1998 Belfast/Good Friday Agreement, merged with the strategic intervention of women at critical junctures in the pre negotiation phase, delivered an agreement imbued with significant transformative potential. The implementation process, by contrast, has been characterised by impasse and routine existential crisis.</w:t>
      </w:r>
    </w:p>
    <w:p w:rsid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xml:space="preserve">This paper argues that the application of a feminist institutionalist lens to the process of implementation provides evidence of a sustained and deeply gendered pattern of attrition. Using an assessment matrix drawn from the work of Bell and </w:t>
      </w:r>
      <w:proofErr w:type="spellStart"/>
      <w:r w:rsidRPr="00C97B83">
        <w:rPr>
          <w:rFonts w:ascii="Helvetica" w:eastAsia="Times New Roman" w:hAnsi="Helvetica" w:cs="Helvetica"/>
          <w:color w:val="212121"/>
          <w:sz w:val="23"/>
          <w:szCs w:val="23"/>
          <w:lang w:eastAsia="en-GB"/>
        </w:rPr>
        <w:t>Chinkin</w:t>
      </w:r>
      <w:proofErr w:type="spellEnd"/>
      <w:r w:rsidRPr="00C97B83">
        <w:rPr>
          <w:rFonts w:ascii="Helvetica" w:eastAsia="Times New Roman" w:hAnsi="Helvetica" w:cs="Helvetica"/>
          <w:color w:val="212121"/>
          <w:sz w:val="23"/>
          <w:szCs w:val="23"/>
          <w:lang w:eastAsia="en-GB"/>
        </w:rPr>
        <w:t xml:space="preserve">, the political process is disaggregated to enable contextual analysis at pre negotiation, framework substantive and implementation phases. Key commitments are identified within the broad parameters selected by </w:t>
      </w:r>
      <w:proofErr w:type="spellStart"/>
      <w:r w:rsidRPr="00C97B83">
        <w:rPr>
          <w:rFonts w:ascii="Helvetica" w:eastAsia="Times New Roman" w:hAnsi="Helvetica" w:cs="Helvetica"/>
          <w:color w:val="212121"/>
          <w:sz w:val="23"/>
          <w:szCs w:val="23"/>
          <w:lang w:eastAsia="en-GB"/>
        </w:rPr>
        <w:t>Chinkin</w:t>
      </w:r>
      <w:proofErr w:type="spellEnd"/>
      <w:r w:rsidRPr="00C97B83">
        <w:rPr>
          <w:rFonts w:ascii="Helvetica" w:eastAsia="Times New Roman" w:hAnsi="Helvetica" w:cs="Helvetica"/>
          <w:color w:val="212121"/>
          <w:sz w:val="23"/>
          <w:szCs w:val="23"/>
          <w:lang w:eastAsia="en-GB"/>
        </w:rPr>
        <w:t xml:space="preserve"> as most likely to yield substantive gender outcomes: human rights, security and political participation and progress tracked against implementation. This paper forensically analyses key aspects of the Belfast/Good Friday Agreement throughout the cycle of the process and, drawing on a feminist institutionalist analysis, finds that human rights elements have proven particularly vulnerable to regression. The paper concludes that issues of rights and legacy will continue to be pernicious, inhibiting institutional consolidation.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Pr>
          <w:rFonts w:ascii="Helvetica" w:eastAsia="Times New Roman" w:hAnsi="Helvetica" w:cs="Helvetica"/>
          <w:b/>
          <w:bCs/>
          <w:color w:val="212121"/>
          <w:sz w:val="23"/>
          <w:szCs w:val="23"/>
          <w:lang w:eastAsia="en-GB"/>
        </w:rPr>
        <w:t>Paper 3:</w:t>
      </w:r>
      <w:r w:rsidRPr="00C97B83">
        <w:rPr>
          <w:rFonts w:ascii="Helvetica" w:eastAsia="Times New Roman" w:hAnsi="Helvetica" w:cs="Helvetica"/>
          <w:b/>
          <w:bCs/>
          <w:color w:val="212121"/>
          <w:sz w:val="23"/>
          <w:szCs w:val="23"/>
          <w:lang w:eastAsia="en-GB"/>
        </w:rPr>
        <w:t xml:space="preserve"> Transforming responses to intimate partner violence (IPV) in a post-conflict environment: The case of Northern Ireland</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Jessica Doyle and Monica McWilliams (Ulster University, Transitional Justice Institute)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hyperlink r:id="rId7" w:tgtFrame="_blank" w:history="1">
        <w:r w:rsidRPr="00C97B83">
          <w:rPr>
            <w:rFonts w:ascii="Helvetica" w:eastAsia="Times New Roman" w:hAnsi="Helvetica" w:cs="Helvetica"/>
            <w:color w:val="1B6AC9"/>
            <w:sz w:val="23"/>
            <w:szCs w:val="23"/>
            <w:u w:val="single"/>
            <w:lang w:eastAsia="en-GB"/>
          </w:rPr>
          <w:t>j.doyle@ulster.ac.uk</w:t>
        </w:r>
      </w:hyperlink>
      <w:r w:rsidRPr="00C97B83">
        <w:rPr>
          <w:rFonts w:ascii="Helvetica" w:eastAsia="Times New Roman" w:hAnsi="Helvetica" w:cs="Helvetica"/>
          <w:color w:val="212121"/>
          <w:sz w:val="23"/>
          <w:szCs w:val="23"/>
          <w:lang w:eastAsia="en-GB"/>
        </w:rPr>
        <w:t> (Doyle will present the joint work by herself)</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Empirical research has recently drawn attention to the relationship between armed conflict and intimate partner violence (IPV) whereby the prevalence of IPV goes up in conflict and post-conflict societies. Explanations for this trend vary, but one frequently cited factor is the often weak institutional responses to IPV that exist in conflict-affected settings. Policing and legal system collapse, human and economic resources are taken up with issues seen as directly related to the conflict, and support and protection may not exist for individuals belonging to ethnic groups involved in the conflict, all of which combine to provide a level of impunity and lack of sanctions for those seeking to perpetrate violence.  Drawing on empirical evidence from the Northern Irish case, this paper is concerned with exploring institutional responses to IPV in a conflict and post-conflict environment, and crucially how these responses change as we move from political violence to political settlement. It does so using longitudinal qualitative data gathered through the conduct of over 200 in-depth semi-structured interviews with survivors of IPV and with the professional groups and agencies who offer support to them. These interviews were conducted at two junctures: first in 1992 at the height of the political conflict in Northern Ireland, and latterly in 2016 at a time of enduring peace. The findings trace the changes and improvements that have occurred in institutional responses to IPV, and the challenges that remain. The broader implications of these findings for both theory and policy are discussed.</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Paper 4:</w:t>
      </w:r>
      <w:r w:rsidRPr="00C97B83">
        <w:rPr>
          <w:rFonts w:ascii="Helvetica" w:eastAsia="Times New Roman" w:hAnsi="Helvetica" w:cs="Helvetica"/>
          <w:color w:val="212121"/>
          <w:sz w:val="23"/>
          <w:szCs w:val="23"/>
          <w:lang w:eastAsia="en-GB"/>
        </w:rPr>
        <w:t> </w:t>
      </w:r>
      <w:r w:rsidRPr="00C97B83">
        <w:rPr>
          <w:rFonts w:ascii="Helvetica" w:eastAsia="Times New Roman" w:hAnsi="Helvetica" w:cs="Helvetica"/>
          <w:b/>
          <w:bCs/>
          <w:color w:val="212121"/>
          <w:sz w:val="23"/>
          <w:szCs w:val="23"/>
          <w:lang w:eastAsia="en-GB"/>
        </w:rPr>
        <w:t>Institutional change, gender justice and conflict in Colombia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xml:space="preserve">Pilar Domingo and Alina Rocha </w:t>
      </w:r>
      <w:proofErr w:type="spellStart"/>
      <w:r w:rsidRPr="00C97B83">
        <w:rPr>
          <w:rFonts w:ascii="Helvetica" w:eastAsia="Times New Roman" w:hAnsi="Helvetica" w:cs="Helvetica"/>
          <w:color w:val="212121"/>
          <w:sz w:val="23"/>
          <w:szCs w:val="23"/>
          <w:lang w:eastAsia="en-GB"/>
        </w:rPr>
        <w:t>Menocal</w:t>
      </w:r>
      <w:proofErr w:type="spellEnd"/>
      <w:r w:rsidRPr="00C97B83">
        <w:rPr>
          <w:rFonts w:ascii="Helvetica" w:eastAsia="Times New Roman" w:hAnsi="Helvetica" w:cs="Helvetica"/>
          <w:color w:val="212121"/>
          <w:sz w:val="23"/>
          <w:szCs w:val="23"/>
          <w:lang w:eastAsia="en-GB"/>
        </w:rPr>
        <w:t> </w:t>
      </w:r>
    </w:p>
    <w:p w:rsid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A growing body of literature shows that (post-</w:t>
      </w:r>
      <w:proofErr w:type="gramStart"/>
      <w:r w:rsidRPr="00C97B83">
        <w:rPr>
          <w:rFonts w:ascii="Helvetica" w:eastAsia="Times New Roman" w:hAnsi="Helvetica" w:cs="Helvetica"/>
          <w:color w:val="212121"/>
          <w:sz w:val="23"/>
          <w:szCs w:val="23"/>
          <w:lang w:eastAsia="en-GB"/>
        </w:rPr>
        <w:t>)conflict</w:t>
      </w:r>
      <w:proofErr w:type="gramEnd"/>
      <w:r w:rsidRPr="00C97B83">
        <w:rPr>
          <w:rFonts w:ascii="Helvetica" w:eastAsia="Times New Roman" w:hAnsi="Helvetica" w:cs="Helvetica"/>
          <w:color w:val="212121"/>
          <w:sz w:val="23"/>
          <w:szCs w:val="23"/>
          <w:lang w:eastAsia="en-GB"/>
        </w:rPr>
        <w:t xml:space="preserve"> environments can create opportunities to contest gender inequalities. Colombia is an example of advancement in women’s political voice across different socio-political and institutional domains, within a context of entrenched structural challenges and long-standing conflict. Through the observation of different struggles in pursuit of gender justice, this paper examines how </w:t>
      </w:r>
      <w:r w:rsidRPr="00C97B83">
        <w:rPr>
          <w:rFonts w:ascii="Helvetica" w:eastAsia="Times New Roman" w:hAnsi="Helvetica" w:cs="Helvetica"/>
          <w:color w:val="212121"/>
          <w:sz w:val="23"/>
          <w:szCs w:val="23"/>
          <w:lang w:eastAsia="en-GB"/>
        </w:rPr>
        <w:lastRenderedPageBreak/>
        <w:t>women have engaged across different spheres of institutional change to contest legacies of exclusion and discrimination. Advancement is identified in relation to formal institutional gains for women’s rights and gender equality; women’s access to decision-making roles and presence in public and elected position; the development of a gender-responsive approach to addressing the legacies of conflict. At the same time, women continue to face formidable barriers to gender justice, and discriminatory informal institutions where gender-based discrimination and other structural inequalities remain resilient.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Drawing on recent scholarship on feminist institutionalism, the paper considers how women’s activism has involved strategically navigating discriminatory institutional realities (both formal </w:t>
      </w:r>
      <w:r w:rsidRPr="00C97B83">
        <w:rPr>
          <w:rFonts w:ascii="Helvetica" w:eastAsia="Times New Roman" w:hAnsi="Helvetica" w:cs="Helvetica"/>
          <w:i/>
          <w:iCs/>
          <w:color w:val="212121"/>
          <w:sz w:val="23"/>
          <w:szCs w:val="23"/>
          <w:lang w:eastAsia="en-GB"/>
        </w:rPr>
        <w:t>and </w:t>
      </w:r>
      <w:r w:rsidRPr="00C97B83">
        <w:rPr>
          <w:rFonts w:ascii="Helvetica" w:eastAsia="Times New Roman" w:hAnsi="Helvetica" w:cs="Helvetica"/>
          <w:color w:val="212121"/>
          <w:sz w:val="23"/>
          <w:szCs w:val="23"/>
          <w:lang w:eastAsia="en-GB"/>
        </w:rPr>
        <w:t>informal) and developing key alliances and networks to push for institutional change in order to contest the ruling political settlement. Noting the uneven process of institutional change that characterises Colombia’s history of political development and conflict, the paper identifies the key features of strategic feminist action across different areas of intersecting institutional change to influence the direction of policy and public discourse relating to justice, peace and accountability, and in ways that take account of the gendered experience of conflict.</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 </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b/>
          <w:bCs/>
          <w:color w:val="212121"/>
          <w:sz w:val="23"/>
          <w:szCs w:val="23"/>
          <w:lang w:eastAsia="en-GB"/>
        </w:rPr>
        <w:t>Paper 5: International Law Norms for Gender Equality and Domestic Processes of Institutional Change: When and How the International May Matter</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Catherine O’Rourke (Ulster University, Transitional Justice Institute)</w:t>
      </w: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hyperlink r:id="rId8" w:tgtFrame="_blank" w:history="1">
        <w:r w:rsidRPr="00C97B83">
          <w:rPr>
            <w:rFonts w:ascii="Helvetica" w:eastAsia="Times New Roman" w:hAnsi="Helvetica" w:cs="Helvetica"/>
            <w:color w:val="1B6AC9"/>
            <w:sz w:val="23"/>
            <w:szCs w:val="23"/>
            <w:u w:val="single"/>
            <w:lang w:eastAsia="en-GB"/>
          </w:rPr>
          <w:t>Cf.orourke@ulster.ac.uk</w:t>
        </w:r>
      </w:hyperlink>
    </w:p>
    <w:p w:rsid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p>
    <w:p w:rsidR="00C97B83" w:rsidRPr="00C97B83" w:rsidRDefault="00C97B83" w:rsidP="00C97B83">
      <w:pPr>
        <w:shd w:val="clear" w:color="auto" w:fill="FFFFFF"/>
        <w:spacing w:after="0" w:line="240" w:lineRule="auto"/>
        <w:rPr>
          <w:rFonts w:ascii="Helvetica" w:eastAsia="Times New Roman" w:hAnsi="Helvetica" w:cs="Helvetica"/>
          <w:color w:val="212121"/>
          <w:sz w:val="23"/>
          <w:szCs w:val="23"/>
          <w:lang w:eastAsia="en-GB"/>
        </w:rPr>
      </w:pPr>
      <w:r w:rsidRPr="00C97B83">
        <w:rPr>
          <w:rFonts w:ascii="Helvetica" w:eastAsia="Times New Roman" w:hAnsi="Helvetica" w:cs="Helvetica"/>
          <w:color w:val="212121"/>
          <w:sz w:val="23"/>
          <w:szCs w:val="23"/>
          <w:lang w:eastAsia="en-GB"/>
        </w:rPr>
        <w:t xml:space="preserve">The paper considers the role of international law norms for gender equality in shaping domestic processes of institutional change in conflict-to-peace transitions. The paper proposes a theoretical framework, in which international law norms for gender equality may matter by (1) establishing legal limitations on the types of change possible, (2) shaping activism strategies for feminists engaging politically at the local level, and (3) offering values to potentially inform new institutions. The paper will draw on emerging evidence from the </w:t>
      </w:r>
      <w:proofErr w:type="spellStart"/>
      <w:r w:rsidRPr="00C97B83">
        <w:rPr>
          <w:rFonts w:ascii="Helvetica" w:eastAsia="Times New Roman" w:hAnsi="Helvetica" w:cs="Helvetica"/>
          <w:color w:val="212121"/>
          <w:sz w:val="23"/>
          <w:szCs w:val="23"/>
          <w:lang w:eastAsia="en-GB"/>
        </w:rPr>
        <w:t>DfID</w:t>
      </w:r>
      <w:proofErr w:type="spellEnd"/>
      <w:r w:rsidRPr="00C97B83">
        <w:rPr>
          <w:rFonts w:ascii="Helvetica" w:eastAsia="Times New Roman" w:hAnsi="Helvetica" w:cs="Helvetica"/>
          <w:color w:val="212121"/>
          <w:sz w:val="23"/>
          <w:szCs w:val="23"/>
          <w:lang w:eastAsia="en-GB"/>
        </w:rPr>
        <w:t xml:space="preserve"> Political Settlements Research Programme case specific research from Northern Ireland, Colombia, the Democratic Republic of the Congo and the Philippines to inform the analysis. The paper asks what a focus on international law norms for gender equality may offer a feminist institutionalist analysis in diverse domestic settings. </w:t>
      </w:r>
    </w:p>
    <w:p w:rsidR="002F586B" w:rsidRDefault="00C97B83">
      <w:bookmarkStart w:id="0" w:name="_GoBack"/>
      <w:bookmarkEnd w:id="0"/>
    </w:p>
    <w:sectPr w:rsidR="002F5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83"/>
    <w:rsid w:val="0012139F"/>
    <w:rsid w:val="001C2E72"/>
    <w:rsid w:val="00391184"/>
    <w:rsid w:val="004F1C3C"/>
    <w:rsid w:val="00541BD4"/>
    <w:rsid w:val="00C9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CB3F0-CC7C-4645-A9E9-3F57EDBD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7B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C97B8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7B8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C97B83"/>
    <w:rPr>
      <w:rFonts w:ascii="Times New Roman" w:eastAsia="Times New Roman" w:hAnsi="Times New Roman" w:cs="Times New Roman"/>
      <w:b/>
      <w:bCs/>
      <w:sz w:val="24"/>
      <w:szCs w:val="24"/>
      <w:lang w:eastAsia="en-GB"/>
    </w:rPr>
  </w:style>
  <w:style w:type="character" w:customStyle="1" w:styleId="xdatespan">
    <w:name w:val="x_date__span"/>
    <w:basedOn w:val="DefaultParagraphFont"/>
    <w:rsid w:val="00C97B83"/>
  </w:style>
  <w:style w:type="character" w:customStyle="1" w:styleId="apple-converted-space">
    <w:name w:val="apple-converted-space"/>
    <w:basedOn w:val="DefaultParagraphFont"/>
    <w:rsid w:val="00C97B83"/>
  </w:style>
  <w:style w:type="character" w:styleId="Hyperlink">
    <w:name w:val="Hyperlink"/>
    <w:basedOn w:val="DefaultParagraphFont"/>
    <w:uiPriority w:val="99"/>
    <w:semiHidden/>
    <w:unhideWhenUsed/>
    <w:rsid w:val="00C97B83"/>
    <w:rPr>
      <w:color w:val="0000FF"/>
      <w:u w:val="single"/>
    </w:rPr>
  </w:style>
  <w:style w:type="character" w:styleId="Strong">
    <w:name w:val="Strong"/>
    <w:basedOn w:val="DefaultParagraphFont"/>
    <w:uiPriority w:val="22"/>
    <w:qFormat/>
    <w:rsid w:val="00C97B83"/>
    <w:rPr>
      <w:b/>
      <w:bCs/>
    </w:rPr>
  </w:style>
  <w:style w:type="character" w:styleId="Emphasis">
    <w:name w:val="Emphasis"/>
    <w:basedOn w:val="DefaultParagraphFont"/>
    <w:uiPriority w:val="20"/>
    <w:qFormat/>
    <w:rsid w:val="00C97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191">
      <w:bodyDiv w:val="1"/>
      <w:marLeft w:val="0"/>
      <w:marRight w:val="0"/>
      <w:marTop w:val="0"/>
      <w:marBottom w:val="0"/>
      <w:divBdr>
        <w:top w:val="none" w:sz="0" w:space="0" w:color="auto"/>
        <w:left w:val="none" w:sz="0" w:space="0" w:color="auto"/>
        <w:bottom w:val="none" w:sz="0" w:space="0" w:color="auto"/>
        <w:right w:val="none" w:sz="0" w:space="0" w:color="auto"/>
      </w:divBdr>
      <w:divsChild>
        <w:div w:id="1791704035">
          <w:marLeft w:val="0"/>
          <w:marRight w:val="0"/>
          <w:marTop w:val="0"/>
          <w:marBottom w:val="0"/>
          <w:divBdr>
            <w:top w:val="none" w:sz="0" w:space="0" w:color="auto"/>
            <w:left w:val="none" w:sz="0" w:space="0" w:color="auto"/>
            <w:bottom w:val="none" w:sz="0" w:space="0" w:color="auto"/>
            <w:right w:val="none" w:sz="0" w:space="0" w:color="auto"/>
          </w:divBdr>
        </w:div>
        <w:div w:id="1170365404">
          <w:marLeft w:val="0"/>
          <w:marRight w:val="0"/>
          <w:marTop w:val="0"/>
          <w:marBottom w:val="0"/>
          <w:divBdr>
            <w:top w:val="none" w:sz="0" w:space="0" w:color="auto"/>
            <w:left w:val="none" w:sz="0" w:space="0" w:color="auto"/>
            <w:bottom w:val="none" w:sz="0" w:space="0" w:color="auto"/>
            <w:right w:val="none" w:sz="0" w:space="0" w:color="auto"/>
          </w:divBdr>
        </w:div>
        <w:div w:id="1578594625">
          <w:marLeft w:val="0"/>
          <w:marRight w:val="0"/>
          <w:marTop w:val="0"/>
          <w:marBottom w:val="0"/>
          <w:divBdr>
            <w:top w:val="none" w:sz="0" w:space="0" w:color="auto"/>
            <w:left w:val="none" w:sz="0" w:space="0" w:color="auto"/>
            <w:bottom w:val="none" w:sz="0" w:space="0" w:color="auto"/>
            <w:right w:val="none" w:sz="0" w:space="0" w:color="auto"/>
          </w:divBdr>
        </w:div>
        <w:div w:id="26177912">
          <w:marLeft w:val="0"/>
          <w:marRight w:val="0"/>
          <w:marTop w:val="0"/>
          <w:marBottom w:val="0"/>
          <w:divBdr>
            <w:top w:val="none" w:sz="0" w:space="0" w:color="auto"/>
            <w:left w:val="none" w:sz="0" w:space="0" w:color="auto"/>
            <w:bottom w:val="none" w:sz="0" w:space="0" w:color="auto"/>
            <w:right w:val="none" w:sz="0" w:space="0" w:color="auto"/>
          </w:divBdr>
        </w:div>
        <w:div w:id="929191683">
          <w:marLeft w:val="0"/>
          <w:marRight w:val="0"/>
          <w:marTop w:val="0"/>
          <w:marBottom w:val="0"/>
          <w:divBdr>
            <w:top w:val="none" w:sz="0" w:space="0" w:color="auto"/>
            <w:left w:val="none" w:sz="0" w:space="0" w:color="auto"/>
            <w:bottom w:val="none" w:sz="0" w:space="0" w:color="auto"/>
            <w:right w:val="none" w:sz="0" w:space="0" w:color="auto"/>
          </w:divBdr>
        </w:div>
        <w:div w:id="881744594">
          <w:marLeft w:val="0"/>
          <w:marRight w:val="0"/>
          <w:marTop w:val="0"/>
          <w:marBottom w:val="0"/>
          <w:divBdr>
            <w:top w:val="none" w:sz="0" w:space="0" w:color="auto"/>
            <w:left w:val="none" w:sz="0" w:space="0" w:color="auto"/>
            <w:bottom w:val="none" w:sz="0" w:space="0" w:color="auto"/>
            <w:right w:val="none" w:sz="0" w:space="0" w:color="auto"/>
          </w:divBdr>
        </w:div>
        <w:div w:id="984049790">
          <w:marLeft w:val="0"/>
          <w:marRight w:val="0"/>
          <w:marTop w:val="0"/>
          <w:marBottom w:val="0"/>
          <w:divBdr>
            <w:top w:val="none" w:sz="0" w:space="0" w:color="auto"/>
            <w:left w:val="none" w:sz="0" w:space="0" w:color="auto"/>
            <w:bottom w:val="none" w:sz="0" w:space="0" w:color="auto"/>
            <w:right w:val="none" w:sz="0" w:space="0" w:color="auto"/>
          </w:divBdr>
        </w:div>
        <w:div w:id="1596554179">
          <w:marLeft w:val="0"/>
          <w:marRight w:val="0"/>
          <w:marTop w:val="0"/>
          <w:marBottom w:val="0"/>
          <w:divBdr>
            <w:top w:val="none" w:sz="0" w:space="0" w:color="auto"/>
            <w:left w:val="none" w:sz="0" w:space="0" w:color="auto"/>
            <w:bottom w:val="none" w:sz="0" w:space="0" w:color="auto"/>
            <w:right w:val="none" w:sz="0" w:space="0" w:color="auto"/>
          </w:divBdr>
        </w:div>
        <w:div w:id="223028768">
          <w:marLeft w:val="0"/>
          <w:marRight w:val="0"/>
          <w:marTop w:val="0"/>
          <w:marBottom w:val="0"/>
          <w:divBdr>
            <w:top w:val="none" w:sz="0" w:space="0" w:color="auto"/>
            <w:left w:val="none" w:sz="0" w:space="0" w:color="auto"/>
            <w:bottom w:val="none" w:sz="0" w:space="0" w:color="auto"/>
            <w:right w:val="none" w:sz="0" w:space="0" w:color="auto"/>
          </w:divBdr>
        </w:div>
        <w:div w:id="868183413">
          <w:marLeft w:val="0"/>
          <w:marRight w:val="0"/>
          <w:marTop w:val="0"/>
          <w:marBottom w:val="0"/>
          <w:divBdr>
            <w:top w:val="none" w:sz="0" w:space="0" w:color="auto"/>
            <w:left w:val="none" w:sz="0" w:space="0" w:color="auto"/>
            <w:bottom w:val="none" w:sz="0" w:space="0" w:color="auto"/>
            <w:right w:val="none" w:sz="0" w:space="0" w:color="auto"/>
          </w:divBdr>
        </w:div>
        <w:div w:id="1366171185">
          <w:marLeft w:val="0"/>
          <w:marRight w:val="0"/>
          <w:marTop w:val="0"/>
          <w:marBottom w:val="0"/>
          <w:divBdr>
            <w:top w:val="none" w:sz="0" w:space="0" w:color="auto"/>
            <w:left w:val="none" w:sz="0" w:space="0" w:color="auto"/>
            <w:bottom w:val="none" w:sz="0" w:space="0" w:color="auto"/>
            <w:right w:val="none" w:sz="0" w:space="0" w:color="auto"/>
          </w:divBdr>
        </w:div>
        <w:div w:id="1227490838">
          <w:marLeft w:val="0"/>
          <w:marRight w:val="0"/>
          <w:marTop w:val="0"/>
          <w:marBottom w:val="0"/>
          <w:divBdr>
            <w:top w:val="none" w:sz="0" w:space="0" w:color="auto"/>
            <w:left w:val="none" w:sz="0" w:space="0" w:color="auto"/>
            <w:bottom w:val="none" w:sz="0" w:space="0" w:color="auto"/>
            <w:right w:val="none" w:sz="0" w:space="0" w:color="auto"/>
          </w:divBdr>
        </w:div>
        <w:div w:id="115176180">
          <w:marLeft w:val="0"/>
          <w:marRight w:val="0"/>
          <w:marTop w:val="0"/>
          <w:marBottom w:val="0"/>
          <w:divBdr>
            <w:top w:val="none" w:sz="0" w:space="0" w:color="auto"/>
            <w:left w:val="none" w:sz="0" w:space="0" w:color="auto"/>
            <w:bottom w:val="none" w:sz="0" w:space="0" w:color="auto"/>
            <w:right w:val="none" w:sz="0" w:space="0" w:color="auto"/>
          </w:divBdr>
        </w:div>
        <w:div w:id="896891534">
          <w:marLeft w:val="0"/>
          <w:marRight w:val="0"/>
          <w:marTop w:val="0"/>
          <w:marBottom w:val="0"/>
          <w:divBdr>
            <w:top w:val="none" w:sz="0" w:space="0" w:color="auto"/>
            <w:left w:val="none" w:sz="0" w:space="0" w:color="auto"/>
            <w:bottom w:val="none" w:sz="0" w:space="0" w:color="auto"/>
            <w:right w:val="none" w:sz="0" w:space="0" w:color="auto"/>
          </w:divBdr>
        </w:div>
        <w:div w:id="1497455143">
          <w:marLeft w:val="0"/>
          <w:marRight w:val="0"/>
          <w:marTop w:val="0"/>
          <w:marBottom w:val="0"/>
          <w:divBdr>
            <w:top w:val="none" w:sz="0" w:space="0" w:color="auto"/>
            <w:left w:val="none" w:sz="0" w:space="0" w:color="auto"/>
            <w:bottom w:val="none" w:sz="0" w:space="0" w:color="auto"/>
            <w:right w:val="none" w:sz="0" w:space="0" w:color="auto"/>
          </w:divBdr>
        </w:div>
        <w:div w:id="467868537">
          <w:marLeft w:val="0"/>
          <w:marRight w:val="0"/>
          <w:marTop w:val="0"/>
          <w:marBottom w:val="0"/>
          <w:divBdr>
            <w:top w:val="none" w:sz="0" w:space="0" w:color="auto"/>
            <w:left w:val="none" w:sz="0" w:space="0" w:color="auto"/>
            <w:bottom w:val="none" w:sz="0" w:space="0" w:color="auto"/>
            <w:right w:val="none" w:sz="0" w:space="0" w:color="auto"/>
          </w:divBdr>
        </w:div>
        <w:div w:id="277445040">
          <w:marLeft w:val="0"/>
          <w:marRight w:val="0"/>
          <w:marTop w:val="0"/>
          <w:marBottom w:val="0"/>
          <w:divBdr>
            <w:top w:val="none" w:sz="0" w:space="0" w:color="auto"/>
            <w:left w:val="none" w:sz="0" w:space="0" w:color="auto"/>
            <w:bottom w:val="none" w:sz="0" w:space="0" w:color="auto"/>
            <w:right w:val="none" w:sz="0" w:space="0" w:color="auto"/>
          </w:divBdr>
        </w:div>
        <w:div w:id="214203729">
          <w:marLeft w:val="0"/>
          <w:marRight w:val="0"/>
          <w:marTop w:val="0"/>
          <w:marBottom w:val="0"/>
          <w:divBdr>
            <w:top w:val="none" w:sz="0" w:space="0" w:color="auto"/>
            <w:left w:val="none" w:sz="0" w:space="0" w:color="auto"/>
            <w:bottom w:val="none" w:sz="0" w:space="0" w:color="auto"/>
            <w:right w:val="none" w:sz="0" w:space="0" w:color="auto"/>
          </w:divBdr>
        </w:div>
        <w:div w:id="709575147">
          <w:marLeft w:val="0"/>
          <w:marRight w:val="0"/>
          <w:marTop w:val="0"/>
          <w:marBottom w:val="0"/>
          <w:divBdr>
            <w:top w:val="none" w:sz="0" w:space="0" w:color="auto"/>
            <w:left w:val="none" w:sz="0" w:space="0" w:color="auto"/>
            <w:bottom w:val="none" w:sz="0" w:space="0" w:color="auto"/>
            <w:right w:val="none" w:sz="0" w:space="0" w:color="auto"/>
          </w:divBdr>
        </w:div>
        <w:div w:id="52126351">
          <w:marLeft w:val="0"/>
          <w:marRight w:val="0"/>
          <w:marTop w:val="0"/>
          <w:marBottom w:val="0"/>
          <w:divBdr>
            <w:top w:val="none" w:sz="0" w:space="0" w:color="auto"/>
            <w:left w:val="none" w:sz="0" w:space="0" w:color="auto"/>
            <w:bottom w:val="none" w:sz="0" w:space="0" w:color="auto"/>
            <w:right w:val="none" w:sz="0" w:space="0" w:color="auto"/>
          </w:divBdr>
        </w:div>
        <w:div w:id="777874435">
          <w:marLeft w:val="0"/>
          <w:marRight w:val="0"/>
          <w:marTop w:val="0"/>
          <w:marBottom w:val="0"/>
          <w:divBdr>
            <w:top w:val="none" w:sz="0" w:space="0" w:color="auto"/>
            <w:left w:val="none" w:sz="0" w:space="0" w:color="auto"/>
            <w:bottom w:val="none" w:sz="0" w:space="0" w:color="auto"/>
            <w:right w:val="none" w:sz="0" w:space="0" w:color="auto"/>
          </w:divBdr>
        </w:div>
        <w:div w:id="1382093410">
          <w:marLeft w:val="0"/>
          <w:marRight w:val="0"/>
          <w:marTop w:val="0"/>
          <w:marBottom w:val="0"/>
          <w:divBdr>
            <w:top w:val="none" w:sz="0" w:space="0" w:color="auto"/>
            <w:left w:val="none" w:sz="0" w:space="0" w:color="auto"/>
            <w:bottom w:val="none" w:sz="0" w:space="0" w:color="auto"/>
            <w:right w:val="none" w:sz="0" w:space="0" w:color="auto"/>
          </w:divBdr>
        </w:div>
        <w:div w:id="1494294871">
          <w:marLeft w:val="0"/>
          <w:marRight w:val="0"/>
          <w:marTop w:val="0"/>
          <w:marBottom w:val="0"/>
          <w:divBdr>
            <w:top w:val="none" w:sz="0" w:space="0" w:color="auto"/>
            <w:left w:val="none" w:sz="0" w:space="0" w:color="auto"/>
            <w:bottom w:val="none" w:sz="0" w:space="0" w:color="auto"/>
            <w:right w:val="none" w:sz="0" w:space="0" w:color="auto"/>
          </w:divBdr>
        </w:div>
        <w:div w:id="528222053">
          <w:marLeft w:val="0"/>
          <w:marRight w:val="0"/>
          <w:marTop w:val="0"/>
          <w:marBottom w:val="0"/>
          <w:divBdr>
            <w:top w:val="none" w:sz="0" w:space="0" w:color="auto"/>
            <w:left w:val="none" w:sz="0" w:space="0" w:color="auto"/>
            <w:bottom w:val="none" w:sz="0" w:space="0" w:color="auto"/>
            <w:right w:val="none" w:sz="0" w:space="0" w:color="auto"/>
          </w:divBdr>
        </w:div>
        <w:div w:id="884558624">
          <w:marLeft w:val="0"/>
          <w:marRight w:val="0"/>
          <w:marTop w:val="0"/>
          <w:marBottom w:val="0"/>
          <w:divBdr>
            <w:top w:val="none" w:sz="0" w:space="0" w:color="auto"/>
            <w:left w:val="none" w:sz="0" w:space="0" w:color="auto"/>
            <w:bottom w:val="none" w:sz="0" w:space="0" w:color="auto"/>
            <w:right w:val="none" w:sz="0" w:space="0" w:color="auto"/>
          </w:divBdr>
        </w:div>
        <w:div w:id="866983738">
          <w:marLeft w:val="0"/>
          <w:marRight w:val="0"/>
          <w:marTop w:val="0"/>
          <w:marBottom w:val="0"/>
          <w:divBdr>
            <w:top w:val="none" w:sz="0" w:space="0" w:color="auto"/>
            <w:left w:val="none" w:sz="0" w:space="0" w:color="auto"/>
            <w:bottom w:val="none" w:sz="0" w:space="0" w:color="auto"/>
            <w:right w:val="none" w:sz="0" w:space="0" w:color="auto"/>
          </w:divBdr>
        </w:div>
        <w:div w:id="2102527873">
          <w:marLeft w:val="0"/>
          <w:marRight w:val="0"/>
          <w:marTop w:val="0"/>
          <w:marBottom w:val="0"/>
          <w:divBdr>
            <w:top w:val="none" w:sz="0" w:space="0" w:color="auto"/>
            <w:left w:val="none" w:sz="0" w:space="0" w:color="auto"/>
            <w:bottom w:val="none" w:sz="0" w:space="0" w:color="auto"/>
            <w:right w:val="none" w:sz="0" w:space="0" w:color="auto"/>
          </w:divBdr>
        </w:div>
        <w:div w:id="1903905851">
          <w:marLeft w:val="0"/>
          <w:marRight w:val="0"/>
          <w:marTop w:val="0"/>
          <w:marBottom w:val="0"/>
          <w:divBdr>
            <w:top w:val="none" w:sz="0" w:space="0" w:color="auto"/>
            <w:left w:val="none" w:sz="0" w:space="0" w:color="auto"/>
            <w:bottom w:val="none" w:sz="0" w:space="0" w:color="auto"/>
            <w:right w:val="none" w:sz="0" w:space="0" w:color="auto"/>
          </w:divBdr>
        </w:div>
        <w:div w:id="554898261">
          <w:marLeft w:val="0"/>
          <w:marRight w:val="0"/>
          <w:marTop w:val="0"/>
          <w:marBottom w:val="0"/>
          <w:divBdr>
            <w:top w:val="none" w:sz="0" w:space="0" w:color="auto"/>
            <w:left w:val="none" w:sz="0" w:space="0" w:color="auto"/>
            <w:bottom w:val="none" w:sz="0" w:space="0" w:color="auto"/>
            <w:right w:val="none" w:sz="0" w:space="0" w:color="auto"/>
          </w:divBdr>
        </w:div>
        <w:div w:id="769010944">
          <w:marLeft w:val="0"/>
          <w:marRight w:val="0"/>
          <w:marTop w:val="0"/>
          <w:marBottom w:val="0"/>
          <w:divBdr>
            <w:top w:val="none" w:sz="0" w:space="0" w:color="auto"/>
            <w:left w:val="none" w:sz="0" w:space="0" w:color="auto"/>
            <w:bottom w:val="none" w:sz="0" w:space="0" w:color="auto"/>
            <w:right w:val="none" w:sz="0" w:space="0" w:color="auto"/>
          </w:divBdr>
        </w:div>
        <w:div w:id="1981959674">
          <w:marLeft w:val="0"/>
          <w:marRight w:val="0"/>
          <w:marTop w:val="0"/>
          <w:marBottom w:val="0"/>
          <w:divBdr>
            <w:top w:val="none" w:sz="0" w:space="0" w:color="auto"/>
            <w:left w:val="none" w:sz="0" w:space="0" w:color="auto"/>
            <w:bottom w:val="none" w:sz="0" w:space="0" w:color="auto"/>
            <w:right w:val="none" w:sz="0" w:space="0" w:color="auto"/>
          </w:divBdr>
        </w:div>
        <w:div w:id="138690826">
          <w:marLeft w:val="0"/>
          <w:marRight w:val="0"/>
          <w:marTop w:val="0"/>
          <w:marBottom w:val="0"/>
          <w:divBdr>
            <w:top w:val="none" w:sz="0" w:space="0" w:color="auto"/>
            <w:left w:val="none" w:sz="0" w:space="0" w:color="auto"/>
            <w:bottom w:val="none" w:sz="0" w:space="0" w:color="auto"/>
            <w:right w:val="none" w:sz="0" w:space="0" w:color="auto"/>
          </w:divBdr>
        </w:div>
        <w:div w:id="775907918">
          <w:marLeft w:val="0"/>
          <w:marRight w:val="0"/>
          <w:marTop w:val="0"/>
          <w:marBottom w:val="0"/>
          <w:divBdr>
            <w:top w:val="none" w:sz="0" w:space="0" w:color="auto"/>
            <w:left w:val="none" w:sz="0" w:space="0" w:color="auto"/>
            <w:bottom w:val="none" w:sz="0" w:space="0" w:color="auto"/>
            <w:right w:val="none" w:sz="0" w:space="0" w:color="auto"/>
          </w:divBdr>
        </w:div>
        <w:div w:id="1331369491">
          <w:marLeft w:val="0"/>
          <w:marRight w:val="0"/>
          <w:marTop w:val="0"/>
          <w:marBottom w:val="0"/>
          <w:divBdr>
            <w:top w:val="none" w:sz="0" w:space="0" w:color="auto"/>
            <w:left w:val="none" w:sz="0" w:space="0" w:color="auto"/>
            <w:bottom w:val="none" w:sz="0" w:space="0" w:color="auto"/>
            <w:right w:val="none" w:sz="0" w:space="0" w:color="auto"/>
          </w:divBdr>
        </w:div>
        <w:div w:id="1942756574">
          <w:marLeft w:val="0"/>
          <w:marRight w:val="0"/>
          <w:marTop w:val="0"/>
          <w:marBottom w:val="0"/>
          <w:divBdr>
            <w:top w:val="none" w:sz="0" w:space="0" w:color="auto"/>
            <w:left w:val="none" w:sz="0" w:space="0" w:color="auto"/>
            <w:bottom w:val="none" w:sz="0" w:space="0" w:color="auto"/>
            <w:right w:val="none" w:sz="0" w:space="0" w:color="auto"/>
          </w:divBdr>
        </w:div>
        <w:div w:id="107240838">
          <w:marLeft w:val="0"/>
          <w:marRight w:val="0"/>
          <w:marTop w:val="0"/>
          <w:marBottom w:val="0"/>
          <w:divBdr>
            <w:top w:val="none" w:sz="0" w:space="0" w:color="auto"/>
            <w:left w:val="none" w:sz="0" w:space="0" w:color="auto"/>
            <w:bottom w:val="none" w:sz="0" w:space="0" w:color="auto"/>
            <w:right w:val="none" w:sz="0" w:space="0" w:color="auto"/>
          </w:divBdr>
        </w:div>
        <w:div w:id="299069336">
          <w:marLeft w:val="0"/>
          <w:marRight w:val="0"/>
          <w:marTop w:val="0"/>
          <w:marBottom w:val="0"/>
          <w:divBdr>
            <w:top w:val="none" w:sz="0" w:space="0" w:color="auto"/>
            <w:left w:val="none" w:sz="0" w:space="0" w:color="auto"/>
            <w:bottom w:val="none" w:sz="0" w:space="0" w:color="auto"/>
            <w:right w:val="none" w:sz="0" w:space="0" w:color="auto"/>
          </w:divBdr>
        </w:div>
        <w:div w:id="1324161610">
          <w:marLeft w:val="0"/>
          <w:marRight w:val="0"/>
          <w:marTop w:val="0"/>
          <w:marBottom w:val="0"/>
          <w:divBdr>
            <w:top w:val="none" w:sz="0" w:space="0" w:color="auto"/>
            <w:left w:val="none" w:sz="0" w:space="0" w:color="auto"/>
            <w:bottom w:val="none" w:sz="0" w:space="0" w:color="auto"/>
            <w:right w:val="none" w:sz="0" w:space="0" w:color="auto"/>
          </w:divBdr>
        </w:div>
        <w:div w:id="348608743">
          <w:marLeft w:val="0"/>
          <w:marRight w:val="0"/>
          <w:marTop w:val="0"/>
          <w:marBottom w:val="0"/>
          <w:divBdr>
            <w:top w:val="none" w:sz="0" w:space="0" w:color="auto"/>
            <w:left w:val="none" w:sz="0" w:space="0" w:color="auto"/>
            <w:bottom w:val="none" w:sz="0" w:space="0" w:color="auto"/>
            <w:right w:val="none" w:sz="0" w:space="0" w:color="auto"/>
          </w:divBdr>
        </w:div>
        <w:div w:id="705643416">
          <w:marLeft w:val="0"/>
          <w:marRight w:val="0"/>
          <w:marTop w:val="0"/>
          <w:marBottom w:val="0"/>
          <w:divBdr>
            <w:top w:val="none" w:sz="0" w:space="0" w:color="auto"/>
            <w:left w:val="none" w:sz="0" w:space="0" w:color="auto"/>
            <w:bottom w:val="none" w:sz="0" w:space="0" w:color="auto"/>
            <w:right w:val="none" w:sz="0" w:space="0" w:color="auto"/>
          </w:divBdr>
        </w:div>
        <w:div w:id="970283809">
          <w:marLeft w:val="0"/>
          <w:marRight w:val="0"/>
          <w:marTop w:val="0"/>
          <w:marBottom w:val="0"/>
          <w:divBdr>
            <w:top w:val="none" w:sz="0" w:space="0" w:color="auto"/>
            <w:left w:val="none" w:sz="0" w:space="0" w:color="auto"/>
            <w:bottom w:val="none" w:sz="0" w:space="0" w:color="auto"/>
            <w:right w:val="none" w:sz="0" w:space="0" w:color="auto"/>
          </w:divBdr>
        </w:div>
        <w:div w:id="643118875">
          <w:marLeft w:val="0"/>
          <w:marRight w:val="0"/>
          <w:marTop w:val="0"/>
          <w:marBottom w:val="0"/>
          <w:divBdr>
            <w:top w:val="none" w:sz="0" w:space="0" w:color="auto"/>
            <w:left w:val="none" w:sz="0" w:space="0" w:color="auto"/>
            <w:bottom w:val="none" w:sz="0" w:space="0" w:color="auto"/>
            <w:right w:val="none" w:sz="0" w:space="0" w:color="auto"/>
          </w:divBdr>
        </w:div>
        <w:div w:id="707991078">
          <w:marLeft w:val="0"/>
          <w:marRight w:val="0"/>
          <w:marTop w:val="0"/>
          <w:marBottom w:val="0"/>
          <w:divBdr>
            <w:top w:val="none" w:sz="0" w:space="0" w:color="auto"/>
            <w:left w:val="none" w:sz="0" w:space="0" w:color="auto"/>
            <w:bottom w:val="none" w:sz="0" w:space="0" w:color="auto"/>
            <w:right w:val="none" w:sz="0" w:space="0" w:color="auto"/>
          </w:divBdr>
        </w:div>
        <w:div w:id="1135102234">
          <w:marLeft w:val="0"/>
          <w:marRight w:val="0"/>
          <w:marTop w:val="0"/>
          <w:marBottom w:val="0"/>
          <w:divBdr>
            <w:top w:val="none" w:sz="0" w:space="0" w:color="auto"/>
            <w:left w:val="none" w:sz="0" w:space="0" w:color="auto"/>
            <w:bottom w:val="none" w:sz="0" w:space="0" w:color="auto"/>
            <w:right w:val="none" w:sz="0" w:space="0" w:color="auto"/>
          </w:divBdr>
        </w:div>
        <w:div w:id="1986548313">
          <w:marLeft w:val="0"/>
          <w:marRight w:val="0"/>
          <w:marTop w:val="0"/>
          <w:marBottom w:val="0"/>
          <w:divBdr>
            <w:top w:val="none" w:sz="0" w:space="0" w:color="auto"/>
            <w:left w:val="none" w:sz="0" w:space="0" w:color="auto"/>
            <w:bottom w:val="none" w:sz="0" w:space="0" w:color="auto"/>
            <w:right w:val="none" w:sz="0" w:space="0" w:color="auto"/>
          </w:divBdr>
        </w:div>
        <w:div w:id="816187356">
          <w:marLeft w:val="0"/>
          <w:marRight w:val="0"/>
          <w:marTop w:val="0"/>
          <w:marBottom w:val="0"/>
          <w:divBdr>
            <w:top w:val="none" w:sz="0" w:space="0" w:color="auto"/>
            <w:left w:val="none" w:sz="0" w:space="0" w:color="auto"/>
            <w:bottom w:val="none" w:sz="0" w:space="0" w:color="auto"/>
            <w:right w:val="none" w:sz="0" w:space="0" w:color="auto"/>
          </w:divBdr>
        </w:div>
        <w:div w:id="255481020">
          <w:marLeft w:val="0"/>
          <w:marRight w:val="0"/>
          <w:marTop w:val="0"/>
          <w:marBottom w:val="0"/>
          <w:divBdr>
            <w:top w:val="none" w:sz="0" w:space="0" w:color="auto"/>
            <w:left w:val="none" w:sz="0" w:space="0" w:color="auto"/>
            <w:bottom w:val="none" w:sz="0" w:space="0" w:color="auto"/>
            <w:right w:val="none" w:sz="0" w:space="0" w:color="auto"/>
          </w:divBdr>
        </w:div>
        <w:div w:id="1439637833">
          <w:marLeft w:val="0"/>
          <w:marRight w:val="0"/>
          <w:marTop w:val="0"/>
          <w:marBottom w:val="0"/>
          <w:divBdr>
            <w:top w:val="none" w:sz="0" w:space="0" w:color="auto"/>
            <w:left w:val="none" w:sz="0" w:space="0" w:color="auto"/>
            <w:bottom w:val="none" w:sz="0" w:space="0" w:color="auto"/>
            <w:right w:val="none" w:sz="0" w:space="0" w:color="auto"/>
          </w:divBdr>
        </w:div>
        <w:div w:id="2102099702">
          <w:marLeft w:val="0"/>
          <w:marRight w:val="0"/>
          <w:marTop w:val="0"/>
          <w:marBottom w:val="0"/>
          <w:divBdr>
            <w:top w:val="none" w:sz="0" w:space="0" w:color="auto"/>
            <w:left w:val="none" w:sz="0" w:space="0" w:color="auto"/>
            <w:bottom w:val="none" w:sz="0" w:space="0" w:color="auto"/>
            <w:right w:val="none" w:sz="0" w:space="0" w:color="auto"/>
          </w:divBdr>
        </w:div>
        <w:div w:id="1231884231">
          <w:marLeft w:val="0"/>
          <w:marRight w:val="0"/>
          <w:marTop w:val="0"/>
          <w:marBottom w:val="0"/>
          <w:divBdr>
            <w:top w:val="none" w:sz="0" w:space="0" w:color="auto"/>
            <w:left w:val="none" w:sz="0" w:space="0" w:color="auto"/>
            <w:bottom w:val="none" w:sz="0" w:space="0" w:color="auto"/>
            <w:right w:val="none" w:sz="0" w:space="0" w:color="auto"/>
          </w:divBdr>
        </w:div>
        <w:div w:id="1347898777">
          <w:marLeft w:val="0"/>
          <w:marRight w:val="0"/>
          <w:marTop w:val="0"/>
          <w:marBottom w:val="0"/>
          <w:divBdr>
            <w:top w:val="none" w:sz="0" w:space="0" w:color="auto"/>
            <w:left w:val="none" w:sz="0" w:space="0" w:color="auto"/>
            <w:bottom w:val="none" w:sz="0" w:space="0" w:color="auto"/>
            <w:right w:val="none" w:sz="0" w:space="0" w:color="auto"/>
          </w:divBdr>
        </w:div>
        <w:div w:id="39326330">
          <w:marLeft w:val="0"/>
          <w:marRight w:val="0"/>
          <w:marTop w:val="0"/>
          <w:marBottom w:val="0"/>
          <w:divBdr>
            <w:top w:val="none" w:sz="0" w:space="0" w:color="auto"/>
            <w:left w:val="none" w:sz="0" w:space="0" w:color="auto"/>
            <w:bottom w:val="none" w:sz="0" w:space="0" w:color="auto"/>
            <w:right w:val="none" w:sz="0" w:space="0" w:color="auto"/>
          </w:divBdr>
        </w:div>
        <w:div w:id="167487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orourke@ulster.ac.uk" TargetMode="External"/><Relationship Id="rId3" Type="http://schemas.openxmlformats.org/officeDocument/2006/relationships/webSettings" Target="webSettings.xml"/><Relationship Id="rId7" Type="http://schemas.openxmlformats.org/officeDocument/2006/relationships/hyperlink" Target="mailto:j.doyle@ul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use-m@email.ulster.ac.uk" TargetMode="External"/><Relationship Id="rId5" Type="http://schemas.openxmlformats.org/officeDocument/2006/relationships/hyperlink" Target="mailto:f.s.mackay@ed.ac.uk" TargetMode="External"/><Relationship Id="rId10" Type="http://schemas.openxmlformats.org/officeDocument/2006/relationships/theme" Target="theme/theme1.xml"/><Relationship Id="rId4" Type="http://schemas.openxmlformats.org/officeDocument/2006/relationships/hyperlink" Target="http://uicgenderconf.wixsite.com/conferencesit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1452</Words>
  <Characters>8278</Characters>
  <Application>Microsoft Office Word</Application>
  <DocSecurity>0</DocSecurity>
  <Lines>68</Lines>
  <Paragraphs>19</Paragraphs>
  <ScaleCrop>false</ScaleCrop>
  <Company>University of Edinburgh</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Laura</dc:creator>
  <cp:keywords/>
  <dc:description/>
  <cp:lastModifiedBy>WISE Laura</cp:lastModifiedBy>
  <cp:revision>1</cp:revision>
  <dcterms:created xsi:type="dcterms:W3CDTF">2016-11-08T17:05:00Z</dcterms:created>
  <dcterms:modified xsi:type="dcterms:W3CDTF">2016-11-08T17:07:00Z</dcterms:modified>
</cp:coreProperties>
</file>